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ивный-гражданин-в-районах-москвы"/>
    <w:p>
      <w:pPr>
        <w:pStyle w:val="Heading3"/>
      </w:pPr>
      <w:r>
        <w:t xml:space="preserve">«Активный гражданин» в районах Москвы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Активные граждане района Царицыно определили площадку для новогодних праздничных гуляний, которые пройдут 5 января.</w:t>
      </w:r>
    </w:p>
    <w:p>
      <w:pPr>
        <w:pStyle w:val="BodyText"/>
      </w:pPr>
      <w:r>
        <w:t xml:space="preserve">Всего в голосовании по этому вопросу приняли участие 2252 жителя района.</w:t>
      </w:r>
    </w:p>
    <w:p>
      <w:pPr>
        <w:pStyle w:val="BodyText"/>
      </w:pPr>
      <w:r>
        <w:t xml:space="preserve">Из них 75% проголосовали за то, чтобы развлекательное мероприятие прошло в парке «Сосенки».</w:t>
      </w:r>
    </w:p>
    <w:p>
      <w:pPr>
        <w:pStyle w:val="BodyText"/>
      </w:pPr>
      <w:r>
        <w:t xml:space="preserve">Остальные варианты – площадка у центра досуга «Личность» и спортивная площадка на Севанской – набрали по 6% голосов.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73% активных граждан из района Рязанский поддержали открытие нового раздела «Таланты Рязанки» на сайте управы. Он расскажет о необычных хобби и творческих достижениях жителей района. Всего в голосовании приняли участие 1933 жителя. Против инициативы выступили всего 15% пользователей.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Раменок определили, чем дополнить уличные стенды для лучшего информирования населения. В голосовании по этому вопросу в проекте «Активный гражданин» приняли участие 1947 жителей района. 30% посчитали, что на инфостендах нужно публиковать данные о кружках и секциях, открытых в районе. 21% - проголосовали за информацию о работе районных служб по приему населения. 20% выбрали анонсы районных спортивно-досуговых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 Нагорном районе идет подготовка к сезону зимних развлечений. В проекте «Активный гражданин» 1268 жителей района проголосовали за площадки для заливки катков. 20% поддержали спортплощадку на Черноморском бульваре, 10, корп. 1. За каток на Варшавском шоссе, 72, корп. 2 проголосовали 12%. Чуть меньше – 11% - выбрали двор на Болотниковской улице, у дома 6Б. Однако большинство жителей района (34%) посчитали, что катки нужно залить по всем предложенным адресам.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http://smedvedkovo.mos.ru/presscenter/news/detail/2318402.html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2318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2318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2025-08-06T00:15:43Z</dcterms:created>
  <dcterms:modified xsi:type="dcterms:W3CDTF">2025-08-06T00:15:43Z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