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79ecb086be8bee3843f3472310dec6dac5cc"/>
    <w:p>
      <w:pPr>
        <w:pStyle w:val="Heading3"/>
      </w:pPr>
      <w:r>
        <w:t xml:space="preserve">Мостуризм презентовал новые проекты в сфере образовательного туризма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rPr>
          <w:iCs/>
          <w:i/>
          <w:bCs/>
          <w:b/>
        </w:rPr>
        <w:t xml:space="preserve">Вопросы туризма обсудили участники Российско-Армянского молодёжного форума, прошедшего в Москве с 8 по 11 декабря. Наибольшее внимание в обсуждениях было уделено перспективам молодежного туризма двух стран, поддержка и мотивация туристических бизнес-проектов, современные тренды отрасли, популяризация и общее развитие сферы.</w:t>
      </w:r>
    </w:p>
    <w:p>
      <w:pPr>
        <w:pStyle w:val="BodyText"/>
      </w:pPr>
      <w:r>
        <w:t xml:space="preserve">В рамках форума Мостуризм представил инновационные образовательно-туристические проекты «Город открытий» и «Страна открытий». Особенность этих проектов – инновационная методология программы, позволяющая ребенку быть активным исследователем, изучающим пространство города через погружение в различные индустрии, сферы и отрасли экономики. Так, проект «Город открытий» - это познавательные путешествия для школьников из регионов Российской Федерации, в рамках которого город представляется не как населенный пункт, а как единое образовательное пространство, живая система отраслей, объектов и профессионалов.</w:t>
      </w:r>
    </w:p>
    <w:p>
      <w:pPr>
        <w:pStyle w:val="BodyText"/>
      </w:pPr>
      <w:r>
        <w:t xml:space="preserve">Кроме того, проекты предлагают участникам несколько образовательно-туристических маршрутов — отраслевых треков, включающих в себя посещение высокотехнологичных компаний, корпораций, инновационных стартапов, ключевых производств, профильных вузов, технопарков и культурных объектов города.</w:t>
      </w:r>
    </w:p>
    <w:p>
      <w:pPr>
        <w:pStyle w:val="BodyText"/>
      </w:pPr>
      <w:r>
        <w:t xml:space="preserve">К участию в форуме были приглашены молодые люди в возрасте до 35 лет: представители республиканских, региональных молодёжных общественных организаций, лидеры молодежных движений, студенты образовательных организаций высшего образования, представители структур, реализующих молодёжную политику России и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http://smedvedkovo.mos.ru/presscenter/news/detail/10471175.html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0471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0471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2025-03-15T10:24:04Z</dcterms:created>
  <dcterms:modified xsi:type="dcterms:W3CDTF">2025-03-15T10:24:04Z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