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26594ec028bbaa263cce3603e1a0fa86fa24cc"/>
    <w:p>
      <w:pPr>
        <w:pStyle w:val="Heading3"/>
      </w:pPr>
      <w:r>
        <w:t xml:space="preserve">Карта рисков нарушения антимонопольного законодательства в управе района Северное Медведково города Москвы</w:t>
      </w:r>
    </w:p>
    <w:p>
      <w:pPr>
        <w:pStyle w:val="FirstParagraph"/>
      </w:pPr>
      <w:r>
        <w:t xml:space="preserve">31.03.2019</w:t>
      </w:r>
    </w:p>
    <w:p>
      <w:pPr>
        <w:pStyle w:val="BodyText"/>
      </w:pPr>
      <w:hyperlink r:id="rId20">
        <w:r>
          <w:rPr>
            <w:rStyle w:val="Hyperlink"/>
          </w:rPr>
          <w:t xml:space="preserve">Карта рисков нарушения антимонопольного законодательства в управе района Северное Медведково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http://smedvedkovo.mos.ru/on-combating-corruption/methodical-materials/detail/7987774.html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img-329155447.pdf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7987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img-329155447.pdf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7987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2025-05-26T15:29:33Z</dcterms:created>
  <dcterms:modified xsi:type="dcterms:W3CDTF">2025-05-26T15:29:33Z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