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5744fbe6e0a1f353daf13357b9e19dadd8349"/>
    <w:p>
      <w:pPr>
        <w:pStyle w:val="Heading3"/>
      </w:pPr>
      <w:r>
        <w:t xml:space="preserve">Административная ответственность юридических лиц за совершение правонарушений коррупционной направленности</w:t>
      </w:r>
    </w:p>
    <w:p>
      <w:pPr>
        <w:pStyle w:val="FirstParagraph"/>
      </w:pPr>
      <w:r>
        <w:t xml:space="preserve">16.01.2019</w:t>
      </w:r>
    </w:p>
    <w:bookmarkEnd w:id="20"/>
    <w:bookmarkStart w:id="24" w:name="Xb13b256c56aabd1ec63a2af1fdfcae1daecf90e"/>
    <w:p>
      <w:pPr>
        <w:pStyle w:val="Heading1"/>
      </w:pPr>
      <w:hyperlink r:id="rId21">
        <w:r>
          <w:rPr>
            <w:rStyle w:val="Hyperlink"/>
          </w:rPr>
          <w:t xml:space="preserve">Памятка. Административная ответственность юридических лиц за совершение правонарушений коррупционной направленности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http://smedvedkovo.mos.ru/on-combating-corruption/methodical-materials/detail/7822464.html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yurlica_2017.pdf" TargetMode="External" /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on-combating-corruption/methodical-materials/detail/78224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yurlica_2017.pdf" TargetMode="External" /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on-combating-corruption/methodical-materials/detail/78224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2025-05-26T13:38:19Z</dcterms:created>
  <dcterms:modified xsi:type="dcterms:W3CDTF">2025-05-26T13:38:19Z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