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f02be96e113a0e35a554c01fefd508ff62909"/>
    <w:p>
      <w:pPr>
        <w:pStyle w:val="Heading3"/>
      </w:pPr>
      <w:r>
        <w:t xml:space="preserve">КОНТРОЛЬ ЗА СООТВЕТСТВИЕМ РАСХОДОВ ГОСУДАРСТВЕННЫХ И МУНИЦИПАЛЬНЫХ СЛУЖАЩИХ ИХ ДОХОДАМ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Памятка. КОНТРОЛЬ ЗА СООТВЕТСТВИЕМ РАСХОДОВ ГОСУДАРСТВЕННЫХ И МУНИЦИПАЛЬНЫХ СЛУЖАЩИХ ИХ ДОХОДАМ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http://smedvedkovo.mos.ru/on-combating-corruption/methodical-materials/detail/7822411.html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memo_1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7822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memo_1.pdf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on-combating-corruption/methodical-materials/detail/7822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2024-04-12T18:40:46Z</dcterms:created>
  <dcterms:modified xsi:type="dcterms:W3CDTF">2024-04-12T18:40:46Z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