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амятка-что-нужно-знать-о-коррупции-2"/>
    <w:p>
      <w:pPr>
        <w:pStyle w:val="Heading3"/>
      </w:pPr>
      <w:r>
        <w:t xml:space="preserve">Памятка "Что нужно знать о коррупции" 2</w:t>
      </w:r>
    </w:p>
    <w:p>
      <w:pPr>
        <w:pStyle w:val="FirstParagraph"/>
      </w:pPr>
      <w:r>
        <w:t xml:space="preserve">14.04.2017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http://smedvedkovo.mos.ru/on-combating-corruption/methodical-materials/detail/5631913.html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Медведково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medvedkovo.mos.ru" TargetMode="External" /><Relationship Type="http://schemas.openxmlformats.org/officeDocument/2006/relationships/hyperlink" Id="rId20" Target="http://smedvedkovo.mos.ru/on-combating-corruption/methodical-materials/detail/56319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medvedkovo.mos.ru" TargetMode="External" /><Relationship Type="http://schemas.openxmlformats.org/officeDocument/2006/relationships/hyperlink" Id="rId20" Target="http://smedvedkovo.mos.ru/on-combating-corruption/methodical-materials/detail/56319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2023-08-15T17:57:09Z</dcterms:created>
  <dcterms:modified xsi:type="dcterms:W3CDTF">2023-08-15T17:57:09Z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