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a82b679c2e38a7fedef57635de1cce583acd4"/>
    <w:p>
      <w:pPr>
        <w:pStyle w:val="Heading3"/>
      </w:pPr>
      <w:r>
        <w:t xml:space="preserve">Методические рекомендации по организации работы комиссий по соблюдению требований к служебному поведению федеральных государственных служащих и урегулированию конфликта интересов (аттестационных комиссий) в федеральных государственных органах</w:t>
      </w:r>
    </w:p>
    <w:p>
      <w:pPr>
        <w:pStyle w:val="FirstParagraph"/>
      </w:pPr>
      <w:r>
        <w:t xml:space="preserve">15.01.2016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http://smedvedkovo.mos.ru/on-combating-corruption/methodical-materials/detail/2438868.html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2438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on-combating-corruption/methodical-materials/detail/2438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2024-11-06T23:19:32Z</dcterms:created>
  <dcterms:modified xsi:type="dcterms:W3CDTF">2024-11-06T23:19:32Z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